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4"/>
        <w:contextualSpacing/>
        <w:ind w:left="9694"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t xml:space="preserve">УТВЕРЖДЕН</w:t>
      </w:r>
      <w:r/>
    </w:p>
    <w:p>
      <w:pPr>
        <w:pStyle w:val="824"/>
        <w:contextualSpacing/>
        <w:ind w:left="9694"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протоколом управляющего совета муниципальной программы</w:t>
      </w:r>
      <w:r/>
    </w:p>
    <w:p>
      <w:pPr>
        <w:pStyle w:val="824"/>
        <w:contextualSpacing/>
        <w:ind w:left="9694"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«Переселение граждан из жилищного фонда, признанного непригодным для проживания в Копейском городском округе»</w:t>
      </w:r>
      <w:r/>
    </w:p>
    <w:p>
      <w:pPr>
        <w:pStyle w:val="824"/>
        <w:contextualSpacing/>
        <w:ind w:left="9694"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от _____________ № _______</w:t>
      </w:r>
      <w:r/>
    </w:p>
    <w:p>
      <w:pPr>
        <w:pStyle w:val="824"/>
        <w:contextualSpacing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24"/>
        <w:contextualSpacing/>
        <w:jc w:val="center"/>
        <w:spacing w:before="0" w:after="0"/>
        <w:tabs>
          <w:tab w:val="clear" w:pos="708" w:leader="none"/>
          <w:tab w:val="left" w:pos="6385" w:leader="none"/>
          <w:tab w:val="center" w:pos="72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ПАСПОРТ</w:t>
      </w:r>
      <w:r/>
    </w:p>
    <w:p>
      <w:pPr>
        <w:pStyle w:val="824"/>
        <w:contextualSpacing/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комплекса процессных мероприятий</w:t>
      </w:r>
      <w:r/>
    </w:p>
    <w:p>
      <w:pPr>
        <w:pStyle w:val="824"/>
        <w:contextualSpacing/>
        <w:jc w:val="center"/>
        <w:spacing w:before="0" w:after="0"/>
        <w:rPr>
          <w:color w:val="000000"/>
        </w:rPr>
      </w:pPr>
      <w:r>
        <w:rPr>
          <w:color w:val="000000"/>
          <w:sz w:val="28"/>
          <w:szCs w:val="28"/>
        </w:rPr>
        <w:t xml:space="preserve">«Переселение граждан из жилищного фонда, признанного непригодным для проживания в Копейском городском округе» </w:t>
      </w:r>
      <w:r/>
    </w:p>
    <w:p>
      <w:pPr>
        <w:pStyle w:val="824"/>
        <w:contextualSpacing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47"/>
        <w:numPr>
          <w:ilvl w:val="0"/>
          <w:numId w:val="2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положения</w:t>
      </w:r>
      <w:r/>
    </w:p>
    <w:p>
      <w:pPr>
        <w:ind w:left="720" w:firstLine="0"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W w:w="5000" w:type="pct"/>
        <w:tblInd w:w="7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7689"/>
        <w:gridCol w:w="6880"/>
      </w:tblGrid>
      <w:tr>
        <w:trPr>
          <w:cantSplit/>
          <w:trHeight w:val="6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9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комплекса процессных мероприятий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0" w:type="dxa"/>
            <w:vAlign w:val="center"/>
            <w:textDirection w:val="lrTb"/>
            <w:noWrap w:val="false"/>
          </w:tcPr>
          <w:p>
            <w:pPr>
              <w:pStyle w:val="824"/>
              <w:ind w:firstLine="568"/>
              <w:jc w:val="center"/>
              <w:tabs>
                <w:tab w:val="clear" w:pos="708" w:leader="none"/>
                <w:tab w:val="left" w:pos="99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заместитель Главы городского округа Сазонов Н.В.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cantSplit/>
          <w:trHeight w:val="5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9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0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жилищной политики Саевская И.Д.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89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Связь с муниципальной программой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0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«Переселение граждан из жилищного фонда, признанного непригодным для проживания в Копейском городском округе»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contextualSpacing/>
        <w:jc w:val="center"/>
        <w:spacing w:before="0" w:after="0"/>
      </w:pPr>
      <w:r/>
      <w:r/>
    </w:p>
    <w:p>
      <w:pPr>
        <w:pStyle w:val="847"/>
        <w:numPr>
          <w:ilvl w:val="0"/>
          <w:numId w:val="2"/>
        </w:numPr>
        <w:jc w:val="center"/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Показатели комплекса процессных мероприятий</w:t>
      </w:r>
      <w:r/>
    </w:p>
    <w:tbl>
      <w:tblPr>
        <w:tblW w:w="14790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652"/>
        <w:gridCol w:w="798"/>
        <w:gridCol w:w="765"/>
        <w:gridCol w:w="217"/>
        <w:gridCol w:w="548"/>
        <w:gridCol w:w="723"/>
        <w:gridCol w:w="42"/>
        <w:gridCol w:w="1286"/>
        <w:gridCol w:w="798"/>
        <w:gridCol w:w="765"/>
        <w:gridCol w:w="216"/>
        <w:gridCol w:w="732"/>
        <w:gridCol w:w="216"/>
        <w:gridCol w:w="732"/>
        <w:gridCol w:w="216"/>
        <w:gridCol w:w="765"/>
        <w:gridCol w:w="765"/>
        <w:gridCol w:w="811"/>
        <w:gridCol w:w="770"/>
        <w:gridCol w:w="854"/>
        <w:gridCol w:w="810"/>
        <w:gridCol w:w="1310"/>
      </w:tblGrid>
      <w:tr>
        <w:trPr>
          <w:trHeight w:val="305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2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br/>
              <w:t xml:space="preserve">п</w:t>
            </w:r>
            <w:r>
              <w:rPr>
                <w:sz w:val="24"/>
                <w:szCs w:val="24"/>
                <w:lang w:val="en-US"/>
              </w:rPr>
              <w:t xml:space="preserve">/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6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показателя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7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Базовое значение за год предшествующий году</w:t>
            </w:r>
            <w:r>
              <w:rPr>
                <w:rFonts w:eastAsia="Calibri" w:eastAsiaTheme="minorHAnsi"/>
                <w:sz w:val="24"/>
                <w:szCs w:val="24"/>
                <w:lang w:eastAsia="en-US"/>
              </w:rPr>
              <w:t xml:space="preserve"> разработки проекта муниципальной программы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10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показателя по годам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9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за достижение показателя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96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2" w:type="dxa"/>
            <w:vAlign w:val="center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6" w:type="dxa"/>
            <w:vAlign w:val="center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7" w:type="dxa"/>
            <w:vAlign w:val="center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" w:type="dxa"/>
            <w:vAlign w:val="center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1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39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2030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9" w:type="dxa"/>
            <w:vMerge w:val="continue"/>
            <w:textDirection w:val="lrTb"/>
            <w:noWrap w:val="false"/>
          </w:tcPr>
          <w:p>
            <w:pPr>
              <w:pStyle w:val="83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  <w:tr>
        <w:trPr>
          <w:trHeight w:val="258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2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6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7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1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39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9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55"/>
        </w:trPr>
        <w:tc>
          <w:tcPr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90" w:type="dxa"/>
            <w:textDirection w:val="lrTb"/>
            <w:noWrap w:val="false"/>
          </w:tcPr>
          <w:p>
            <w:pPr>
              <w:pStyle w:val="824"/>
              <w:jc w:val="left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жилищного фонда, необходимого для переселения граждан из непригодного,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непригодных, аварийных многоквартирных домах. Обеспечение жилищных прав собственников изымаемых жилых помещений, находящихся в непригодных, аварийных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2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6" w:type="dxa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квадратных метров, построенных (приобретенных) жилых помещений (квартир)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7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кв. м.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3,9892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4,1398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1,3305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0,6114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0,9952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1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3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9" w:type="dxa"/>
            <w:textDirection w:val="lrTb"/>
            <w:noWrap w:val="false"/>
          </w:tcPr>
          <w:p>
            <w:pPr>
              <w:pStyle w:val="8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УИиЗО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58"/>
        </w:trPr>
        <w:tc>
          <w:tcPr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90" w:type="dxa"/>
            <w:textDirection w:val="lrTb"/>
            <w:noWrap w:val="false"/>
          </w:tcPr>
          <w:p>
            <w:pPr>
              <w:pStyle w:val="824"/>
              <w:jc w:val="left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Переселение жителей МКД, признанных непригодными для проживания, аварийными и подлежащими сносу или реконструкции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2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6" w:type="dxa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Количество квадратных метров, расселенного непригодного, аварийного жилищного фонда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тыс. кв. м.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0,8115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7,3773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5,0099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0,8155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0,7962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39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9" w:type="dxa"/>
            <w:textDirection w:val="lrTb"/>
            <w:noWrap w:val="false"/>
          </w:tcPr>
          <w:p>
            <w:pPr>
              <w:pStyle w:val="8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2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sz w:val="24"/>
                <w:szCs w:val="24"/>
                <w:shd w:val="clear" w:color="auto" w:fill="auto"/>
              </w:rPr>
              <w:t xml:space="preserve">2.2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Количество граждан, расселенных из непригодного, аварийного жилищного фонда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тыс.чел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0,075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0,509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0,285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0,062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0,055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1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46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939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0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9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36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824"/>
        <w:contextualSpacing/>
        <w:jc w:val="center"/>
        <w:spacing w:before="0" w:after="0" w:line="240" w:lineRule="atLeas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824"/>
        <w:contextualSpacing/>
        <w:jc w:val="center"/>
        <w:spacing w:before="0" w:after="0" w:line="240" w:lineRule="atLeast"/>
      </w:pPr>
      <w:r>
        <w:rPr>
          <w:sz w:val="28"/>
          <w:szCs w:val="28"/>
        </w:rPr>
        <w:t xml:space="preserve">3. Мероприятия (результаты) комплекса процессных мероприятий </w:t>
      </w:r>
      <w:r/>
    </w:p>
    <w:tbl>
      <w:tblPr>
        <w:tblW w:w="14612" w:type="dxa"/>
        <w:jc w:val="right"/>
        <w:tblInd w:w="0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485"/>
        <w:gridCol w:w="2418"/>
        <w:gridCol w:w="1250"/>
        <w:gridCol w:w="1165"/>
        <w:gridCol w:w="908"/>
        <w:gridCol w:w="1016"/>
        <w:gridCol w:w="1061"/>
        <w:gridCol w:w="727"/>
        <w:gridCol w:w="727"/>
        <w:gridCol w:w="727"/>
        <w:gridCol w:w="727"/>
        <w:gridCol w:w="727"/>
        <w:gridCol w:w="688"/>
        <w:gridCol w:w="689"/>
        <w:gridCol w:w="679"/>
        <w:gridCol w:w="616"/>
      </w:tblGrid>
      <w:tr>
        <w:trPr>
          <w:trHeight w:val="52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мероприятия (результата)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мероприятия (результата)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Характеристика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Единицы измерения (по ОКЕИ)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Базовое значение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70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показателя по годам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75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Merge w:val="continue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vAlign w:val="center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vAlign w:val="center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vAlign w:val="center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vAlign w:val="center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89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2030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2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89" w:type="dxa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6" w:type="dxa"/>
            <w:textDirection w:val="lrTb"/>
            <w:noWrap w:val="false"/>
          </w:tcPr>
          <w:p>
            <w:pPr>
              <w:pStyle w:val="824"/>
              <w:contextualSpacing/>
              <w:ind w:left="57"/>
              <w:jc w:val="center"/>
              <w:spacing w:before="0" w:after="6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39"/>
        </w:trPr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2" w:type="dxa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>
              <w:rPr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жилищного фонда, необходимого для переселения граждан из непригодного,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непригодных, аварийных многоквартирных домах. Обеспечение жилищных прав собственников изымаемых жилых помещений, находящихся в непригодных, аварийных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textDirection w:val="lrTb"/>
            <w:noWrap w:val="false"/>
          </w:tcPr>
          <w:p>
            <w:pPr>
              <w:pStyle w:val="824"/>
              <w:contextualSpacing/>
              <w:ind w:right="113"/>
              <w:jc w:val="both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благоустроенных жилых помещений (квартир) для расселения непригодных, аварийных МКД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товаров, работ, услуг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квадратных метров, построенных (приобретенных) жилых помещений (квартир) 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Тысяча квадратных метров общей площади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3,9892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4,1398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1,3305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0,6114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0,9952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8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44"/>
        </w:trPr>
        <w:tc>
          <w:tcPr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12" w:type="dxa"/>
            <w:textDirection w:val="lrTb"/>
            <w:noWrap w:val="false"/>
          </w:tcPr>
          <w:p>
            <w:pPr>
              <w:pStyle w:val="824"/>
              <w:contextualSpacing/>
              <w:spacing w:before="0" w:after="0" w:line="240" w:lineRule="atLeas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Задача 2.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Переселение жителей МКД, признанных непригодными для проживания, аварийными и подлежащими сносу или реконструкции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textDirection w:val="lrTb"/>
            <w:noWrap w:val="false"/>
          </w:tcPr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Расселение непригодных, аварийных МКД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текущей деятельности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квадратных метров, расселенного непригодного, аварийного жилищного фонда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Тысяча квадратных метров общей площади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0,8115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7,3773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5,0099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0,8155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0,7962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89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6" w:type="dxa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4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8" w:type="dxa"/>
            <w:vMerge w:val="restart"/>
            <w:textDirection w:val="lrTb"/>
            <w:noWrap w:val="false"/>
          </w:tcPr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Переселение жителей непригодных, аварийных МКД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50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Осуществление текущей деятельности</w:t>
            </w:r>
            <w:r/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5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расселенных из непригодного, аварийного жилищного фонда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Тысяча человек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6" w:type="dxa"/>
            <w:vMerge w:val="restart"/>
            <w:textDirection w:val="lrTb"/>
            <w:noWrap w:val="false"/>
          </w:tcPr>
          <w:p>
            <w:pPr>
              <w:pStyle w:val="824"/>
              <w:jc w:val="center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0,075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0,509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0,285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0,062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0,055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8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6" w:type="dxa"/>
            <w:vMerge w:val="restart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836"/>
        <w:contextualSpacing/>
        <w:spacing w:before="0" w:after="0"/>
        <w:rPr>
          <w:sz w:val="16"/>
          <w:szCs w:val="16"/>
        </w:rPr>
      </w:pPr>
      <w:r>
        <w:rPr>
          <w:sz w:val="16"/>
          <w:szCs w:val="16"/>
        </w:rPr>
      </w:r>
      <w:r/>
    </w:p>
    <w:p>
      <w:pPr>
        <w:pStyle w:val="836"/>
        <w:contextualSpacing/>
        <w:spacing w:before="0" w:after="0"/>
        <w:rPr>
          <w:sz w:val="16"/>
          <w:szCs w:val="16"/>
        </w:rPr>
      </w:pPr>
      <w:r>
        <w:rPr>
          <w:sz w:val="16"/>
          <w:szCs w:val="16"/>
        </w:rPr>
      </w:r>
      <w:r/>
    </w:p>
    <w:p>
      <w:pPr>
        <w:pStyle w:val="836"/>
        <w:contextualSpacing/>
        <w:spacing w:before="0" w:after="0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/>
    </w:p>
    <w:p>
      <w:pPr>
        <w:pStyle w:val="836"/>
        <w:contextualSpacing/>
        <w:spacing w:before="0" w:after="0"/>
        <w:rPr>
          <w:sz w:val="16"/>
          <w:szCs w:val="16"/>
        </w:rPr>
      </w:pPr>
      <w:r>
        <w:rPr>
          <w:sz w:val="16"/>
          <w:szCs w:val="16"/>
        </w:rPr>
      </w:r>
      <w:r/>
    </w:p>
    <w:p>
      <w:pPr>
        <w:pStyle w:val="824"/>
        <w:contextualSpacing/>
        <w:jc w:val="center"/>
        <w:spacing w:before="0" w:after="0"/>
        <w:tabs>
          <w:tab w:val="clear" w:pos="708" w:leader="none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4. Финансовое обеспечение комплекса процессных мероприятий</w:t>
      </w:r>
      <w:r/>
    </w:p>
    <w:tbl>
      <w:tblPr>
        <w:tblW w:w="15703" w:type="dxa"/>
        <w:tblInd w:w="-3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74"/>
        <w:gridCol w:w="338"/>
        <w:gridCol w:w="403"/>
        <w:gridCol w:w="2776"/>
        <w:gridCol w:w="1360"/>
        <w:gridCol w:w="1437"/>
        <w:gridCol w:w="957"/>
        <w:gridCol w:w="936"/>
        <w:gridCol w:w="936"/>
        <w:gridCol w:w="741"/>
        <w:gridCol w:w="741"/>
        <w:gridCol w:w="741"/>
        <w:gridCol w:w="741"/>
        <w:gridCol w:w="738"/>
        <w:gridCol w:w="745"/>
        <w:gridCol w:w="773"/>
        <w:gridCol w:w="969"/>
      </w:tblGrid>
      <w:tr>
        <w:trPr>
          <w:trHeight w:val="303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-113"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/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мероприятия /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исполнителя / соисполнителя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финансирования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1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финансового обеспечения по годам реализации, тыс. рублей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97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continue"/>
            <w:textDirection w:val="lrTb"/>
            <w:noWrap w:val="false"/>
          </w:tcPr>
          <w:p>
            <w:pPr>
              <w:pStyle w:val="836"/>
              <w:contextualSpacing/>
              <w:ind w:left="-113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vMerge w:val="continue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continue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Merge w:val="continue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Align w:val="center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Align w:val="center"/>
            <w:textDirection w:val="lrTb"/>
            <w:noWrap w:val="false"/>
          </w:tcPr>
          <w:p>
            <w:pPr>
              <w:pStyle w:val="8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1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5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" w:type="dxa"/>
            <w:vAlign w:val="center"/>
            <w:textDirection w:val="lrTb"/>
            <w:noWrap w:val="false"/>
          </w:tcPr>
          <w:p>
            <w:pPr>
              <w:pStyle w:val="836"/>
              <w:contextualSpacing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2030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Всего: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34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textDirection w:val="lrTb"/>
            <w:noWrap w:val="false"/>
          </w:tcPr>
          <w:p>
            <w:pPr>
              <w:pStyle w:val="824"/>
              <w:contextualSpacing/>
              <w:ind w:left="-113"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1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5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contextualSpacing/>
              <w:jc w:val="center"/>
              <w:spacing w:before="0" w:after="0" w:line="240" w:lineRule="auto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15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43"/>
        </w:trPr>
        <w:tc>
          <w:tcPr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03" w:type="dxa"/>
            <w:textDirection w:val="lrTb"/>
            <w:noWrap w:val="false"/>
          </w:tcPr>
          <w:p>
            <w:pPr>
              <w:pStyle w:val="824"/>
              <w:contextualSpacing/>
              <w:ind w:left="-113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>
              <w:rPr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жилищного фонда, необходимого для переселения граждан из непригодного,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непригодных, аварийных многоквартирных домах. Обеспечение жилищных прав собственников изымаемых жилых помещений, находящихся в непригодных, аварийных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93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ind w:left="-113"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</w:t>
            </w:r>
            <w:r>
              <w:rPr>
                <w:sz w:val="24"/>
                <w:szCs w:val="24"/>
              </w:rPr>
            </w:r>
            <w:r/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contextualSpacing/>
              <w:ind w:left="-113"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благоустроенных жилых помещений (квартир) для расселения непригодных, аварийных МКД</w:t>
            </w:r>
            <w:r>
              <w:rPr>
                <w:sz w:val="24"/>
                <w:szCs w:val="24"/>
              </w:rPr>
            </w:r>
            <w:r/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УИиЗО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141 271,09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211 653,09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96 226,28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49 152,00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80 000,00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1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5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578 302,46-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93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7" w:type="dxa"/>
            <w:vMerge w:val="restart"/>
            <w:textDirection w:val="lrTb"/>
            <w:noWrap w:val="false"/>
          </w:tcPr>
          <w:p>
            <w:pPr>
              <w:pStyle w:val="824"/>
              <w:contextualSpacing/>
              <w:jc w:val="center"/>
              <w:spacing w:before="0" w:after="0"/>
              <w:tabs>
                <w:tab w:val="clear" w:pos="708" w:leader="none"/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176,00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213,00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524,84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49,30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1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80,10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1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8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5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3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9" w:type="dxa"/>
            <w:vMerge w:val="restart"/>
            <w:textDirection w:val="lrTb"/>
            <w:noWrap w:val="false"/>
          </w:tcPr>
          <w:p>
            <w:pPr>
              <w:contextualSpacing/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1 043,24-</w:t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824"/>
        <w:contextualSpacing/>
        <w:jc w:val="center"/>
        <w:spacing w:before="0" w:after="0"/>
        <w:tabs>
          <w:tab w:val="clear" w:pos="708" w:leader="none"/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5. План реализации комплекса процессных мероприятий в текущем году </w:t>
      </w:r>
      <w:r/>
    </w:p>
    <w:tbl>
      <w:tblPr>
        <w:tblW w:w="15735" w:type="dxa"/>
        <w:tblInd w:w="-34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796"/>
        <w:gridCol w:w="2552"/>
        <w:gridCol w:w="2836"/>
        <w:gridCol w:w="2550"/>
      </w:tblGrid>
      <w:tr>
        <w:trPr>
          <w:trHeight w:val="874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Задача, мероприятие (результат) /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точка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наступления контрольной точки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подтверждающего документа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73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73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4" w:type="dxa"/>
            <w:vAlign w:val="center"/>
            <w:textDirection w:val="lrTb"/>
            <w:noWrap w:val="false"/>
          </w:tcPr>
          <w:p>
            <w:pPr>
              <w:pStyle w:val="82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 1. </w:t>
            </w:r>
            <w:r>
              <w:rPr>
                <w:b/>
                <w:bCs/>
                <w:sz w:val="24"/>
                <w:szCs w:val="24"/>
              </w:rPr>
              <w:t xml:space="preserve"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ормирование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жилищного фонда, необходимого для переселения граждан из непригодного, аварийного жилищного фонда. Обеспеч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непригодных, аварийных многоквартирных домах. Обеспечение жилищных прав собственников изымаемых жилых помещений, находящихся в непригодных, аварийных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МКД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right="113"/>
              <w:jc w:val="both"/>
              <w:spacing w:before="0" w:after="0" w:line="240" w:lineRule="atLeast"/>
              <w:rPr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bCs/>
                <w:color w:val="000000"/>
                <w:sz w:val="24"/>
                <w:szCs w:val="24"/>
                <w:u w:val="none"/>
              </w:rPr>
            </w:r>
            <w:r>
              <w:rPr>
                <w:sz w:val="24"/>
                <w:szCs w:val="24"/>
              </w:rPr>
              <w:t xml:space="preserve">Приобретение благоустроенных жилых помещений (квартир) для расселения непригодных, аварийных МКД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УИиЗО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точка – </w:t>
            </w:r>
            <w:r>
              <w:rPr>
                <w:sz w:val="24"/>
                <w:szCs w:val="24"/>
              </w:rPr>
              <w:t xml:space="preserve">проведение закупочных процедур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31.12.2025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приема-передачи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77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34" w:type="dxa"/>
            <w:vAlign w:val="center"/>
            <w:textDirection w:val="lrTb"/>
            <w:noWrap w:val="false"/>
          </w:tcPr>
          <w:p>
            <w:pPr>
              <w:pStyle w:val="82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 2.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Переселение жителей МКД, признанных непригодными для проживания, аварийными и подлежащими сносу или реконструкции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Расселение непригодных, аварийных МКД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u w:val="none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X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0" w:right="113" w:firstLine="0"/>
              <w:spacing w:before="0" w:after="0" w:line="240" w:lineRule="atLeast"/>
              <w:rPr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</w:rPr>
              <w:t xml:space="preserve">Контрольная точка  – заключение соглашения мены, договора социального найма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31.12.2025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соглашение мены, договор социального найма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ind w:right="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Переселение жителей непригодных, аварийных МКД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отдел жилищной политики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6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6" w:type="dxa"/>
            <w:vAlign w:val="center"/>
            <w:textDirection w:val="lrTb"/>
            <w:noWrap w:val="false"/>
          </w:tcPr>
          <w:p>
            <w:pPr>
              <w:pStyle w:val="824"/>
              <w:contextualSpacing/>
              <w:ind w:left="0" w:right="113" w:firstLine="0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точка  – заключение соглашения мены, договора социального найма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contextualSpacing/>
              <w:ind w:right="113" w:firstLine="317"/>
              <w:spacing w:before="0" w:after="0" w:line="240" w:lineRule="atLeast"/>
              <w:rPr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31.12.2025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6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соглашение мены, договор социального найма</w:t>
            </w:r>
            <w:r>
              <w:rPr>
                <w:sz w:val="24"/>
                <w:szCs w:val="24"/>
              </w:rPr>
            </w:r>
            <w:r/>
          </w:p>
          <w:p>
            <w:pPr>
              <w:pStyle w:val="8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/>
          </w:p>
        </w:tc>
      </w:tr>
    </w:tbl>
    <w:p>
      <w:pPr>
        <w:pStyle w:val="824"/>
        <w:contextualSpacing/>
        <w:jc w:val="right"/>
        <w:spacing w:before="0"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6838" w:h="11906" w:orient="landscape"/>
      <w:pgMar w:top="1701" w:right="1134" w:bottom="567" w:left="1134" w:header="709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Droid Sans Fallback">
    <w:panose1 w:val="05050102010205020202"/>
  </w:font>
  <w:font w:name="Lohit Devanagari">
    <w:panose1 w:val="05050102010205020202"/>
  </w:font>
  <w:font w:name="Open Sans">
    <w:panose1 w:val="020B06060305040202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8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26"/>
    <w:link w:val="825"/>
    <w:uiPriority w:val="9"/>
    <w:rPr>
      <w:rFonts w:ascii="Arial" w:hAnsi="Arial" w:eastAsia="Arial" w:cs="Arial"/>
      <w:sz w:val="40"/>
      <w:szCs w:val="40"/>
    </w:rPr>
  </w:style>
  <w:style w:type="paragraph" w:styleId="655">
    <w:name w:val="Heading 2"/>
    <w:basedOn w:val="824"/>
    <w:next w:val="824"/>
    <w:link w:val="6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6">
    <w:name w:val="Heading 2 Char"/>
    <w:basedOn w:val="826"/>
    <w:link w:val="655"/>
    <w:uiPriority w:val="9"/>
    <w:rPr>
      <w:rFonts w:ascii="Arial" w:hAnsi="Arial" w:eastAsia="Arial" w:cs="Arial"/>
      <w:sz w:val="34"/>
    </w:rPr>
  </w:style>
  <w:style w:type="paragraph" w:styleId="657">
    <w:name w:val="Heading 3"/>
    <w:basedOn w:val="824"/>
    <w:next w:val="824"/>
    <w:link w:val="6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8">
    <w:name w:val="Heading 3 Char"/>
    <w:basedOn w:val="826"/>
    <w:link w:val="657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4"/>
    <w:next w:val="824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6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4"/>
    <w:next w:val="824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6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4"/>
    <w:next w:val="824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6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4"/>
    <w:next w:val="824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6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4"/>
    <w:next w:val="824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6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4"/>
    <w:next w:val="824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6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character" w:styleId="672">
    <w:name w:val="Title Char"/>
    <w:basedOn w:val="826"/>
    <w:link w:val="840"/>
    <w:uiPriority w:val="10"/>
    <w:rPr>
      <w:sz w:val="48"/>
      <w:szCs w:val="48"/>
    </w:rPr>
  </w:style>
  <w:style w:type="paragraph" w:styleId="673">
    <w:name w:val="Subtitle"/>
    <w:basedOn w:val="824"/>
    <w:next w:val="824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26"/>
    <w:link w:val="673"/>
    <w:uiPriority w:val="11"/>
    <w:rPr>
      <w:sz w:val="24"/>
      <w:szCs w:val="24"/>
    </w:rPr>
  </w:style>
  <w:style w:type="paragraph" w:styleId="675">
    <w:name w:val="Quote"/>
    <w:basedOn w:val="824"/>
    <w:next w:val="824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4"/>
    <w:next w:val="824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character" w:styleId="679">
    <w:name w:val="Header Char"/>
    <w:basedOn w:val="826"/>
    <w:link w:val="844"/>
    <w:uiPriority w:val="99"/>
  </w:style>
  <w:style w:type="character" w:styleId="680">
    <w:name w:val="Footer Char"/>
    <w:basedOn w:val="826"/>
    <w:link w:val="848"/>
    <w:uiPriority w:val="99"/>
  </w:style>
  <w:style w:type="character" w:styleId="681">
    <w:name w:val="Caption Char"/>
    <w:basedOn w:val="838"/>
    <w:link w:val="848"/>
    <w:uiPriority w:val="99"/>
  </w:style>
  <w:style w:type="table" w:styleId="682">
    <w:name w:val="Table Grid"/>
    <w:basedOn w:val="8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8">
    <w:name w:val="Hyperlink"/>
    <w:uiPriority w:val="99"/>
    <w:unhideWhenUsed/>
    <w:rPr>
      <w:color w:val="0000ff" w:themeColor="hyperlink"/>
      <w:u w:val="single"/>
    </w:rPr>
  </w:style>
  <w:style w:type="character" w:styleId="809">
    <w:name w:val="Footnote Text Char"/>
    <w:link w:val="849"/>
    <w:uiPriority w:val="99"/>
    <w:rPr>
      <w:sz w:val="18"/>
    </w:rPr>
  </w:style>
  <w:style w:type="paragraph" w:styleId="810">
    <w:name w:val="endnote text"/>
    <w:basedOn w:val="824"/>
    <w:link w:val="811"/>
    <w:uiPriority w:val="99"/>
    <w:semiHidden/>
    <w:unhideWhenUsed/>
    <w:pPr>
      <w:spacing w:after="0" w:line="240" w:lineRule="auto"/>
    </w:pPr>
    <w:rPr>
      <w:sz w:val="20"/>
    </w:r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6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825">
    <w:name w:val="Heading 1"/>
    <w:basedOn w:val="824"/>
    <w:next w:val="824"/>
    <w:link w:val="831"/>
    <w:uiPriority w:val="9"/>
    <w:qFormat/>
    <w:pPr>
      <w:keepLines/>
      <w:keepNext/>
      <w:spacing w:before="480" w:after="0"/>
      <w:outlineLvl w:val="0"/>
    </w:pPr>
    <w:rPr>
      <w:rFonts w:ascii="Cambria" w:hAnsi="Cambria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26" w:default="1">
    <w:name w:val="Default Paragraph Font"/>
    <w:uiPriority w:val="1"/>
    <w:semiHidden/>
    <w:unhideWhenUsed/>
    <w:qFormat/>
  </w:style>
  <w:style w:type="character" w:styleId="827" w:customStyle="1">
    <w:name w:val="Основной текст Знак"/>
    <w:basedOn w:val="826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8" w:customStyle="1">
    <w:name w:val="Верхний колонтитул Знак"/>
    <w:basedOn w:val="826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29" w:customStyle="1">
    <w:name w:val="Текст выноски Знак"/>
    <w:basedOn w:val="826"/>
    <w:link w:val="845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30" w:customStyle="1">
    <w:name w:val="Нижний колонтитул Знак"/>
    <w:basedOn w:val="826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1" w:customStyle="1">
    <w:name w:val="Заголовок 1 Знак"/>
    <w:basedOn w:val="826"/>
    <w:uiPriority w:val="9"/>
    <w:qFormat/>
    <w:rPr>
      <w:rFonts w:ascii="Cambria" w:hAnsi="Cambria"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832" w:customStyle="1">
    <w:name w:val="Текст сноски Знак"/>
    <w:basedOn w:val="826"/>
    <w:uiPriority w:val="99"/>
    <w:qFormat/>
    <w:rPr>
      <w:rFonts w:cs="Times New Roman" w:eastAsiaTheme="minorEastAsia"/>
      <w:sz w:val="20"/>
      <w:szCs w:val="20"/>
      <w:lang w:eastAsia="ru-RU"/>
    </w:rPr>
  </w:style>
  <w:style w:type="character" w:styleId="833" w:customStyle="1">
    <w:name w:val="Символ сноски"/>
    <w:uiPriority w:val="99"/>
    <w:unhideWhenUsed/>
    <w:qFormat/>
    <w:rPr>
      <w:rFonts w:cs="Times New Roman"/>
      <w:vertAlign w:val="superscript"/>
    </w:rPr>
  </w:style>
  <w:style w:type="character" w:styleId="834">
    <w:name w:val="footnote reference"/>
    <w:rPr>
      <w:rFonts w:cs="Times New Roman"/>
      <w:vertAlign w:val="superscript"/>
    </w:rPr>
  </w:style>
  <w:style w:type="paragraph" w:styleId="835">
    <w:name w:val="Заголовок"/>
    <w:basedOn w:val="824"/>
    <w:next w:val="836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836">
    <w:name w:val="Body Text"/>
    <w:basedOn w:val="824"/>
    <w:link w:val="827"/>
    <w:pPr>
      <w:jc w:val="both"/>
    </w:pPr>
    <w:rPr>
      <w:sz w:val="20"/>
      <w:szCs w:val="20"/>
    </w:rPr>
  </w:style>
  <w:style w:type="paragraph" w:styleId="837">
    <w:name w:val="List"/>
    <w:basedOn w:val="836"/>
    <w:rPr>
      <w:rFonts w:cs="Lohit Devanagari"/>
    </w:rPr>
  </w:style>
  <w:style w:type="paragraph" w:styleId="838">
    <w:name w:val="Caption"/>
    <w:basedOn w:val="824"/>
    <w:qFormat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839">
    <w:name w:val="Указатель"/>
    <w:basedOn w:val="824"/>
    <w:qFormat/>
    <w:pPr>
      <w:suppressLineNumbers/>
    </w:pPr>
    <w:rPr>
      <w:rFonts w:cs="Lohit Devanagari"/>
    </w:rPr>
  </w:style>
  <w:style w:type="paragraph" w:styleId="840">
    <w:name w:val="Title"/>
    <w:basedOn w:val="824"/>
    <w:next w:val="836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841">
    <w:name w:val="caption1"/>
    <w:basedOn w:val="824"/>
    <w:qFormat/>
    <w:pPr>
      <w:spacing w:before="120" w:after="120"/>
      <w:suppressLineNumbers/>
    </w:pPr>
    <w:rPr>
      <w:rFonts w:cs="Lohit Devanagari"/>
      <w:i/>
      <w:iCs/>
    </w:rPr>
  </w:style>
  <w:style w:type="paragraph" w:styleId="842">
    <w:name w:val="index heading"/>
    <w:basedOn w:val="824"/>
    <w:qFormat/>
    <w:pPr>
      <w:suppressLineNumbers/>
    </w:pPr>
    <w:rPr>
      <w:rFonts w:cs="Lohit Devanagari"/>
    </w:rPr>
  </w:style>
  <w:style w:type="paragraph" w:styleId="843" w:customStyle="1">
    <w:name w:val="Колонтитул"/>
    <w:basedOn w:val="824"/>
    <w:qFormat/>
  </w:style>
  <w:style w:type="paragraph" w:styleId="844">
    <w:name w:val="Header"/>
    <w:basedOn w:val="824"/>
    <w:link w:val="828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45">
    <w:name w:val="Balloon Text"/>
    <w:basedOn w:val="824"/>
    <w:link w:val="82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46" w:customStyle="1">
    <w:name w:val="ConsPlusNormal"/>
    <w:qFormat/>
    <w:pPr>
      <w:jc w:val="left"/>
      <w:spacing w:before="0" w:after="0"/>
      <w:widowControl/>
    </w:pPr>
    <w:rPr>
      <w:rFonts w:ascii="Times New Roman" w:hAnsi="Times New Roman" w:eastAsia="Calibri" w:cs="Times New Roman" w:eastAsiaTheme="minorHAnsi"/>
      <w:color w:val="auto"/>
      <w:sz w:val="26"/>
      <w:szCs w:val="26"/>
      <w:lang w:val="ru-RU" w:eastAsia="en-US" w:bidi="ar-SA"/>
    </w:rPr>
  </w:style>
  <w:style w:type="paragraph" w:styleId="847">
    <w:name w:val="List Paragraph"/>
    <w:basedOn w:val="824"/>
    <w:uiPriority w:val="34"/>
    <w:qFormat/>
    <w:pPr>
      <w:contextualSpacing/>
      <w:ind w:left="720"/>
      <w:spacing w:before="0" w:after="0"/>
    </w:pPr>
  </w:style>
  <w:style w:type="paragraph" w:styleId="848">
    <w:name w:val="Footer"/>
    <w:basedOn w:val="824"/>
    <w:link w:val="830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49">
    <w:name w:val="footnote text"/>
    <w:basedOn w:val="824"/>
    <w:link w:val="832"/>
    <w:uiPriority w:val="99"/>
    <w:unhideWhenUsed/>
    <w:pPr>
      <w:spacing w:before="0" w:after="160" w:line="259" w:lineRule="auto"/>
    </w:pPr>
    <w:rPr>
      <w:rFonts w:ascii="Calibri" w:hAnsi="Calibri" w:asciiTheme="minorHAnsi" w:hAnsiTheme="minorHAnsi" w:eastAsiaTheme="minorEastAsia"/>
      <w:sz w:val="20"/>
      <w:szCs w:val="20"/>
    </w:rPr>
  </w:style>
  <w:style w:type="paragraph" w:styleId="850" w:customStyle="1">
    <w:name w:val="ConsPlusTitle"/>
    <w:qFormat/>
    <w:pPr>
      <w:jc w:val="left"/>
      <w:spacing w:before="0" w:after="0"/>
      <w:widowControl w:val="off"/>
    </w:pPr>
    <w:rPr>
      <w:rFonts w:ascii="Calibri" w:hAnsi="Calibri" w:cs="Calibri" w:eastAsiaTheme="minorEastAsia"/>
      <w:b/>
      <w:color w:val="auto"/>
      <w:sz w:val="22"/>
      <w:szCs w:val="22"/>
      <w:lang w:val="ru-RU" w:eastAsia="ru-RU" w:bidi="ar-SA"/>
    </w:rPr>
  </w:style>
  <w:style w:type="paragraph" w:styleId="851" w:customStyle="1">
    <w:name w:val="Нормальный (таблица)"/>
    <w:basedOn w:val="824"/>
    <w:next w:val="824"/>
    <w:uiPriority w:val="99"/>
    <w:qFormat/>
    <w:pPr>
      <w:jc w:val="both"/>
      <w:widowControl w:val="off"/>
    </w:pPr>
    <w:rPr>
      <w:rFonts w:ascii="Arial" w:hAnsi="Arial"/>
      <w:sz w:val="20"/>
      <w:szCs w:val="22"/>
      <w:lang w:eastAsia="en-US"/>
    </w:rPr>
  </w:style>
  <w:style w:type="paragraph" w:styleId="852" w:customStyle="1">
    <w:name w:val="Содержимое таблицы"/>
    <w:basedOn w:val="824"/>
    <w:qFormat/>
    <w:pPr>
      <w:widowControl w:val="off"/>
      <w:suppressLineNumbers/>
    </w:pPr>
  </w:style>
  <w:style w:type="paragraph" w:styleId="853" w:customStyle="1">
    <w:name w:val="Заголовок таблицы"/>
    <w:basedOn w:val="852"/>
    <w:qFormat/>
    <w:pPr>
      <w:jc w:val="center"/>
    </w:pPr>
    <w:rPr>
      <w:b/>
      <w:bCs/>
    </w:rPr>
  </w:style>
  <w:style w:type="paragraph" w:styleId="854">
    <w:name w:val="caption11"/>
    <w:basedOn w:val="824"/>
    <w:qFormat/>
    <w:pPr>
      <w:jc w:val="left"/>
      <w:spacing w:before="120" w:after="120"/>
      <w:widowControl/>
    </w:pPr>
    <w:rPr>
      <w:rFonts w:cs="Lohit Devanagari"/>
      <w:i/>
      <w:iCs/>
      <w:lang w:eastAsia="ru-RU"/>
    </w:rPr>
  </w:style>
  <w:style w:type="numbering" w:styleId="855" w:default="1">
    <w:name w:val="No List"/>
    <w:uiPriority w:val="99"/>
    <w:semiHidden/>
    <w:unhideWhenUsed/>
    <w:qFormat/>
  </w:style>
  <w:style w:type="table" w:styleId="85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01DE9-0058-4B4B-8D6B-2F2A410E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dc:description/>
  <dc:language>ru-RU</dc:language>
  <cp:revision>7</cp:revision>
  <dcterms:modified xsi:type="dcterms:W3CDTF">2024-10-09T08:10:30Z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